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2A04D" w14:textId="63AF65DF" w:rsidR="00716C25" w:rsidRPr="00BB53BF" w:rsidRDefault="00716C25" w:rsidP="00716C25">
      <w:pPr>
        <w:jc w:val="center"/>
        <w:rPr>
          <w:b/>
          <w:bCs/>
          <w:sz w:val="28"/>
          <w:szCs w:val="28"/>
        </w:rPr>
      </w:pPr>
      <w:r w:rsidRPr="00BB53BF">
        <w:rPr>
          <w:b/>
          <w:bCs/>
          <w:sz w:val="28"/>
          <w:szCs w:val="28"/>
          <w:u w:val="single"/>
        </w:rPr>
        <w:t>MOSSY BRANCH BATTERY FACILITY</w:t>
      </w:r>
    </w:p>
    <w:p w14:paraId="01E40902" w14:textId="77777777" w:rsidR="00716C25" w:rsidRPr="00BB53BF" w:rsidRDefault="00716C25" w:rsidP="00BB53BF">
      <w:pPr>
        <w:rPr>
          <w:b/>
          <w:bCs/>
          <w:sz w:val="16"/>
          <w:szCs w:val="16"/>
        </w:rPr>
      </w:pPr>
    </w:p>
    <w:p w14:paraId="5AE3F64D" w14:textId="68692B80" w:rsidR="00716C25" w:rsidRDefault="00716C25" w:rsidP="00716C25">
      <w:pPr>
        <w:jc w:val="center"/>
        <w:rPr>
          <w:b/>
          <w:bCs/>
        </w:rPr>
      </w:pPr>
      <w:r w:rsidRPr="00BB53BF">
        <w:rPr>
          <w:b/>
          <w:bCs/>
        </w:rPr>
        <w:t>PROJECT OVERVIEW</w:t>
      </w:r>
    </w:p>
    <w:p w14:paraId="25B6B67A" w14:textId="77777777" w:rsidR="00716C25" w:rsidRPr="00BB53BF" w:rsidRDefault="00716C25" w:rsidP="00BB53BF">
      <w:pPr>
        <w:jc w:val="center"/>
        <w:rPr>
          <w:b/>
          <w:bCs/>
        </w:rPr>
      </w:pPr>
    </w:p>
    <w:p w14:paraId="1CF476F9" w14:textId="636C9A4A" w:rsidR="00592529" w:rsidRDefault="00592529" w:rsidP="00C44F25">
      <w:pPr>
        <w:pStyle w:val="Heading1"/>
      </w:pPr>
      <w:r>
        <w:t>EXECUTIVE SUMMARY</w:t>
      </w:r>
    </w:p>
    <w:p w14:paraId="1836E0E9" w14:textId="12FCE5A9" w:rsidR="007F395F" w:rsidRDefault="008F41FE" w:rsidP="00592529">
      <w:r>
        <w:rPr>
          <w:rFonts w:cs="Times New Roman"/>
        </w:rPr>
        <w:t>On July 29, 2019 the Georgia Public Service Commission (the “Commission”) issued a final Order Adopting Stipulation as Amended (the “Order”) under Dockets 42310 and 42311 in connection with Georgia Power Company’s 2019 Integrated Resource Plan (“2019 IRP”).  In accordance with that Order, and t</w:t>
      </w:r>
      <w:r w:rsidR="007C4DAE">
        <w:t xml:space="preserve">o evaluate the technical and economic performance of </w:t>
      </w:r>
      <w:r w:rsidR="006C73DC">
        <w:t>Battery Energy Storage Systems (“BESS”)</w:t>
      </w:r>
      <w:r w:rsidR="007C4DAE">
        <w:t xml:space="preserve">, </w:t>
      </w:r>
      <w:r w:rsidR="00CB3C47">
        <w:t>Georgia Power Company (“Georgia Power” or the “Company”) has begun to develop 80 MW of BESS</w:t>
      </w:r>
      <w:r w:rsidR="007C4DAE">
        <w:t xml:space="preserve"> that will be </w:t>
      </w:r>
      <w:r w:rsidR="00FF3D03">
        <w:t>sel</w:t>
      </w:r>
      <w:r w:rsidR="00FF5083">
        <w:t>f</w:t>
      </w:r>
      <w:r w:rsidR="00FF3D03">
        <w:t>-owned and operated</w:t>
      </w:r>
      <w:r w:rsidR="007C4DAE">
        <w:t>.</w:t>
      </w:r>
      <w:r w:rsidR="00CB3C47">
        <w:t xml:space="preserve"> The Company has chosen to develop and test three different configurations</w:t>
      </w:r>
      <w:r w:rsidR="00FF3D03">
        <w:t xml:space="preserve"> to maximize learnings. These configurations include</w:t>
      </w:r>
      <w:r w:rsidR="00CB3C47">
        <w:t xml:space="preserve"> large standalone transmission </w:t>
      </w:r>
      <w:r w:rsidR="00904AEF">
        <w:t>inter</w:t>
      </w:r>
      <w:r w:rsidR="00CB3C47">
        <w:t xml:space="preserve">connected storage, </w:t>
      </w:r>
      <w:r w:rsidR="003912F9">
        <w:t>solar plus storage</w:t>
      </w:r>
      <w:r w:rsidR="00CB3C47">
        <w:t xml:space="preserve">, and small standalone distribution </w:t>
      </w:r>
      <w:r w:rsidR="00904AEF">
        <w:t>inter</w:t>
      </w:r>
      <w:r w:rsidR="00CB3C47">
        <w:t xml:space="preserve">connected storage. </w:t>
      </w:r>
    </w:p>
    <w:p w14:paraId="343EF1D0" w14:textId="77777777" w:rsidR="007F395F" w:rsidRDefault="007F395F" w:rsidP="00592529"/>
    <w:p w14:paraId="6243E736" w14:textId="339FA52B" w:rsidR="00CB3C47" w:rsidRDefault="008F41FE" w:rsidP="00592529">
      <w:r>
        <w:t>Consistent with the Order, Georgia Power submits this report to the Commission prior to undertaking construction and procurement of the project being proposed.</w:t>
      </w:r>
      <w:r w:rsidR="003912F9">
        <w:t xml:space="preserve"> </w:t>
      </w:r>
      <w:r>
        <w:t>T</w:t>
      </w:r>
      <w:r w:rsidR="00FF3D03">
        <w:t>his</w:t>
      </w:r>
      <w:r w:rsidR="007F395F">
        <w:t xml:space="preserve"> </w:t>
      </w:r>
      <w:r w:rsidR="008630B0">
        <w:t xml:space="preserve">report includes the </w:t>
      </w:r>
      <w:r w:rsidR="007F395F">
        <w:t xml:space="preserve">project plan for the large standalone transmission </w:t>
      </w:r>
      <w:r w:rsidR="00904AEF">
        <w:t>inter</w:t>
      </w:r>
      <w:r w:rsidR="007F395F">
        <w:t xml:space="preserve">connected storage, hereinafter referred to as the Mossy Branch Battery Facility. </w:t>
      </w:r>
      <w:r>
        <w:t xml:space="preserve">As such, it provides the objectives, location, transmission evaluation, and detailed operating and testing plans for the project as required by the Order. </w:t>
      </w:r>
      <w:r w:rsidR="003912F9">
        <w:t xml:space="preserve">The Company anticipates </w:t>
      </w:r>
      <w:r w:rsidR="00904AEF">
        <w:t xml:space="preserve">filing </w:t>
      </w:r>
      <w:r w:rsidR="003912F9">
        <w:t xml:space="preserve">project plans for the solar plus storage and small standalone </w:t>
      </w:r>
      <w:r w:rsidR="00904AEF">
        <w:t>distribution inter</w:t>
      </w:r>
      <w:r w:rsidR="003912F9">
        <w:t xml:space="preserve">connected storage configurations after </w:t>
      </w:r>
      <w:r w:rsidR="007C5C68">
        <w:t xml:space="preserve">all </w:t>
      </w:r>
      <w:r w:rsidR="003912F9">
        <w:t>necessary</w:t>
      </w:r>
      <w:r>
        <w:t xml:space="preserve"> project</w:t>
      </w:r>
      <w:r w:rsidR="003912F9">
        <w:t xml:space="preserve"> development has been completed. </w:t>
      </w:r>
    </w:p>
    <w:p w14:paraId="5763348A" w14:textId="71850D10" w:rsidR="00FB4C27" w:rsidRDefault="00FB4C27" w:rsidP="00C1635B">
      <w:pPr>
        <w:pStyle w:val="Heading1"/>
      </w:pPr>
      <w:r>
        <w:t xml:space="preserve">PROJECT </w:t>
      </w:r>
      <w:r w:rsidR="0084689A">
        <w:t>OVERVIEW</w:t>
      </w:r>
    </w:p>
    <w:p w14:paraId="15F91864" w14:textId="605D2206" w:rsidR="00BD75C4" w:rsidRDefault="00BD75C4" w:rsidP="00BD75C4">
      <w:pPr>
        <w:contextualSpacing/>
      </w:pPr>
      <w:r>
        <w:t xml:space="preserve">The Mossy Branch Battery Facility will contain a </w:t>
      </w:r>
      <w:r w:rsidRPr="00982F89">
        <w:t>65 MW</w:t>
      </w:r>
      <w:r w:rsidR="0076337F">
        <w:rPr>
          <w:vertAlign w:val="subscript"/>
        </w:rPr>
        <w:t>AC</w:t>
      </w:r>
      <w:r w:rsidRPr="00982F89">
        <w:t xml:space="preserve"> 4-hour BESS, providing a total </w:t>
      </w:r>
      <w:r>
        <w:t xml:space="preserve">energy </w:t>
      </w:r>
      <w:r w:rsidRPr="00982F89">
        <w:t>of 260 MWh</w:t>
      </w:r>
      <w:r w:rsidR="007F66BE">
        <w:t xml:space="preserve"> </w:t>
      </w:r>
      <w:r w:rsidR="00EA0A59">
        <w:t>per cycle</w:t>
      </w:r>
      <w:r w:rsidRPr="00982F89">
        <w:t>.</w:t>
      </w:r>
      <w:r w:rsidRPr="00983236">
        <w:t xml:space="preserve"> </w:t>
      </w:r>
      <w:r>
        <w:t xml:space="preserve">This independently sited storage system, also referred to as standalone, will connect to and charge from the transmission grid. </w:t>
      </w:r>
      <w:r w:rsidR="00085FD6">
        <w:t xml:space="preserve">The Company </w:t>
      </w:r>
      <w:r w:rsidRPr="00983236">
        <w:t xml:space="preserve">has chosen to site this facility </w:t>
      </w:r>
      <w:r w:rsidR="00D53CCB">
        <w:t xml:space="preserve">near </w:t>
      </w:r>
      <w:r w:rsidR="0076337F">
        <w:t>an existing</w:t>
      </w:r>
      <w:r w:rsidR="00D53CCB">
        <w:t xml:space="preserve"> substation</w:t>
      </w:r>
      <w:r w:rsidRPr="00983236">
        <w:t xml:space="preserve"> in </w:t>
      </w:r>
      <w:r w:rsidRPr="00637EAB">
        <w:t>Talbot County, GA</w:t>
      </w:r>
      <w:r>
        <w:t>,</w:t>
      </w:r>
      <w:r w:rsidRPr="00983236">
        <w:t xml:space="preserve"> which is projected to provide optimum </w:t>
      </w:r>
      <w:r w:rsidRPr="00983236">
        <w:lastRenderedPageBreak/>
        <w:t>operational flexibility.</w:t>
      </w:r>
      <w:r w:rsidR="00085FD6">
        <w:t xml:space="preserve"> The land used for construction and long</w:t>
      </w:r>
      <w:r w:rsidR="0038649E">
        <w:t>-</w:t>
      </w:r>
      <w:r w:rsidR="00085FD6">
        <w:t xml:space="preserve">term operation of this facility is owned by Georgia Power, therefore no easements or leases are required for this project. </w:t>
      </w:r>
    </w:p>
    <w:p w14:paraId="4D36590B" w14:textId="05FEC9EF" w:rsidR="00BD75C4" w:rsidRDefault="00BD75C4" w:rsidP="00FB4C27"/>
    <w:p w14:paraId="634D9291" w14:textId="01D6A219" w:rsidR="00B16FCF" w:rsidRDefault="00905D2F" w:rsidP="00FB4C27">
      <w:pPr>
        <w:rPr>
          <w:rFonts w:cs="Times New Roman"/>
        </w:rPr>
      </w:pPr>
      <w:r>
        <w:rPr>
          <w:rFonts w:cs="Times New Roman"/>
        </w:rPr>
        <w:t xml:space="preserve">In addition to the efforts performed to identify </w:t>
      </w:r>
      <w:r w:rsidR="008E6356">
        <w:rPr>
          <w:rFonts w:cs="Times New Roman"/>
        </w:rPr>
        <w:t xml:space="preserve">an optimal </w:t>
      </w:r>
      <w:r>
        <w:rPr>
          <w:rFonts w:cs="Times New Roman"/>
        </w:rPr>
        <w:t xml:space="preserve">site location, the Company has completed the necessary transmission studies for interconnection and executed the Large Generator Interconnection Agreement (“LGIA”) in March 2021. A copy of the LGIA has been provided </w:t>
      </w:r>
      <w:r w:rsidR="002E7A63">
        <w:rPr>
          <w:rFonts w:cs="Times New Roman"/>
        </w:rPr>
        <w:t>with</w:t>
      </w:r>
      <w:r>
        <w:rPr>
          <w:rFonts w:cs="Times New Roman"/>
        </w:rPr>
        <w:t xml:space="preserve"> this report</w:t>
      </w:r>
      <w:r w:rsidR="002E7A63">
        <w:rPr>
          <w:rFonts w:cs="Times New Roman"/>
        </w:rPr>
        <w:t xml:space="preserve"> </w:t>
      </w:r>
      <w:r w:rsidR="002E7A63" w:rsidRPr="00BB53BF">
        <w:rPr>
          <w:rFonts w:cs="Times New Roman"/>
          <w:b/>
          <w:bCs/>
          <w:i/>
          <w:iCs/>
        </w:rPr>
        <w:t>(</w:t>
      </w:r>
      <w:r w:rsidR="008C4ABC">
        <w:rPr>
          <w:rFonts w:cs="Times New Roman"/>
          <w:b/>
          <w:bCs/>
          <w:i/>
          <w:iCs/>
        </w:rPr>
        <w:t>“</w:t>
      </w:r>
      <w:r w:rsidR="00FD17BA">
        <w:rPr>
          <w:rFonts w:cs="Times New Roman"/>
          <w:b/>
          <w:bCs/>
          <w:i/>
          <w:iCs/>
        </w:rPr>
        <w:t>TS</w:t>
      </w:r>
      <w:r w:rsidR="00FD17BA" w:rsidRPr="00FD17BA">
        <w:rPr>
          <w:rFonts w:cs="Times New Roman"/>
          <w:b/>
          <w:bCs/>
          <w:i/>
          <w:iCs/>
        </w:rPr>
        <w:t>_Transmission</w:t>
      </w:r>
      <w:r w:rsidR="006E56E5">
        <w:rPr>
          <w:rFonts w:cs="Times New Roman"/>
          <w:b/>
          <w:bCs/>
          <w:i/>
          <w:iCs/>
        </w:rPr>
        <w:t>_</w:t>
      </w:r>
      <w:r w:rsidR="00FD17BA" w:rsidRPr="00FD17BA">
        <w:rPr>
          <w:rFonts w:cs="Times New Roman"/>
          <w:b/>
          <w:bCs/>
          <w:i/>
          <w:iCs/>
        </w:rPr>
        <w:t>Evaluation</w:t>
      </w:r>
      <w:r w:rsidR="008C4ABC">
        <w:rPr>
          <w:rFonts w:cs="Times New Roman"/>
          <w:b/>
          <w:bCs/>
          <w:i/>
          <w:iCs/>
        </w:rPr>
        <w:t>.pdf”</w:t>
      </w:r>
      <w:r w:rsidR="002E7A63" w:rsidRPr="008C4ABC">
        <w:rPr>
          <w:rFonts w:cs="Times New Roman"/>
          <w:b/>
          <w:bCs/>
          <w:i/>
          <w:iCs/>
        </w:rPr>
        <w:t>)</w:t>
      </w:r>
      <w:r>
        <w:rPr>
          <w:rFonts w:cs="Times New Roman"/>
        </w:rPr>
        <w:t xml:space="preserve">. </w:t>
      </w:r>
    </w:p>
    <w:p w14:paraId="4F3493EE" w14:textId="2F1BECCD" w:rsidR="00905D2F" w:rsidRDefault="00905D2F" w:rsidP="00FB4C27">
      <w:pPr>
        <w:rPr>
          <w:rFonts w:cs="Times New Roman"/>
        </w:rPr>
      </w:pPr>
    </w:p>
    <w:p w14:paraId="1713F3C1" w14:textId="717D76A8" w:rsidR="00905D2F" w:rsidRDefault="00905D2F" w:rsidP="00905D2F">
      <w:r>
        <w:rPr>
          <w:rFonts w:cs="Times New Roman"/>
        </w:rPr>
        <w:t xml:space="preserve">The Company has also </w:t>
      </w:r>
      <w:r w:rsidR="008E6356">
        <w:rPr>
          <w:rFonts w:cs="Times New Roman"/>
        </w:rPr>
        <w:t xml:space="preserve">carried out key development work related to the communication and control of the BESS. </w:t>
      </w:r>
      <w:r w:rsidR="00F473DA">
        <w:rPr>
          <w:rFonts w:cs="Times New Roman"/>
        </w:rPr>
        <w:t>T</w:t>
      </w:r>
      <w:r w:rsidR="00FD5163">
        <w:rPr>
          <w:rFonts w:cs="Times New Roman"/>
        </w:rPr>
        <w:t xml:space="preserve">he Company anticipates the BESS </w:t>
      </w:r>
      <w:r w:rsidR="00962810">
        <w:rPr>
          <w:rFonts w:cs="Times New Roman"/>
        </w:rPr>
        <w:t xml:space="preserve">primarily being </w:t>
      </w:r>
      <w:r w:rsidR="00FD5163">
        <w:rPr>
          <w:rFonts w:cs="Times New Roman"/>
        </w:rPr>
        <w:t xml:space="preserve">controlled remotely and automatically </w:t>
      </w:r>
      <w:r w:rsidR="00F473DA">
        <w:rPr>
          <w:rFonts w:cs="Times New Roman"/>
        </w:rPr>
        <w:t>by</w:t>
      </w:r>
      <w:r w:rsidR="00FD5163">
        <w:rPr>
          <w:rFonts w:cs="Times New Roman"/>
        </w:rPr>
        <w:t xml:space="preserve"> the Company’s Energy Management System (“EMS”) </w:t>
      </w:r>
      <w:r w:rsidR="00F473DA">
        <w:rPr>
          <w:rFonts w:cs="Times New Roman"/>
        </w:rPr>
        <w:t>for</w:t>
      </w:r>
      <w:r w:rsidR="00FD5163">
        <w:rPr>
          <w:rFonts w:cs="Times New Roman"/>
        </w:rPr>
        <w:t xml:space="preserve"> respond</w:t>
      </w:r>
      <w:r w:rsidR="00F473DA">
        <w:rPr>
          <w:rFonts w:cs="Times New Roman"/>
        </w:rPr>
        <w:t>ing</w:t>
      </w:r>
      <w:r w:rsidR="00FD5163">
        <w:rPr>
          <w:rFonts w:cs="Times New Roman"/>
        </w:rPr>
        <w:t xml:space="preserve"> to system events and for disp</w:t>
      </w:r>
      <w:r w:rsidR="00F473DA">
        <w:rPr>
          <w:rFonts w:cs="Times New Roman"/>
        </w:rPr>
        <w:t>atching via the</w:t>
      </w:r>
      <w:r w:rsidR="00FD5163">
        <w:rPr>
          <w:rFonts w:cs="Times New Roman"/>
        </w:rPr>
        <w:t xml:space="preserve"> Automatic Generation Control (“AGC”) </w:t>
      </w:r>
      <w:r w:rsidR="00F473DA">
        <w:rPr>
          <w:rFonts w:cs="Times New Roman"/>
        </w:rPr>
        <w:t>function</w:t>
      </w:r>
      <w:r w:rsidR="00FD5163">
        <w:rPr>
          <w:rFonts w:cs="Times New Roman"/>
        </w:rPr>
        <w:t xml:space="preserve">. </w:t>
      </w:r>
      <w:r w:rsidR="009B0D08">
        <w:rPr>
          <w:rFonts w:cs="Times New Roman"/>
        </w:rPr>
        <w:t xml:space="preserve">To fully maximize the value of storage, the Company will be upgrading the current AGC software to allow for optimized storage dispatching. </w:t>
      </w:r>
      <w:r w:rsidR="00962810">
        <w:rPr>
          <w:rFonts w:cs="Times New Roman"/>
        </w:rPr>
        <w:t xml:space="preserve">When the BESS is not on AGC, the Company will have the capability to manually control the facility from a centralized operations, monitoring, and diagnostic center. </w:t>
      </w:r>
      <w:r w:rsidR="00060702">
        <w:rPr>
          <w:rFonts w:cs="Times New Roman"/>
        </w:rPr>
        <w:t xml:space="preserve">More details on this subject has been provided in the attached Mossy Branch Battery Facility Operation and Test </w:t>
      </w:r>
      <w:r w:rsidR="008C4ABC">
        <w:rPr>
          <w:rFonts w:cs="Times New Roman"/>
        </w:rPr>
        <w:t xml:space="preserve">Strategy </w:t>
      </w:r>
      <w:r w:rsidR="00060702">
        <w:rPr>
          <w:rFonts w:cs="Times New Roman"/>
        </w:rPr>
        <w:t>(</w:t>
      </w:r>
      <w:r w:rsidR="008C4ABC">
        <w:rPr>
          <w:rFonts w:cs="Times New Roman"/>
        </w:rPr>
        <w:t>“</w:t>
      </w:r>
      <w:r w:rsidR="008C4ABC">
        <w:rPr>
          <w:rFonts w:cs="Times New Roman"/>
          <w:b/>
          <w:bCs/>
          <w:i/>
          <w:iCs/>
        </w:rPr>
        <w:t>TS</w:t>
      </w:r>
      <w:r w:rsidR="000235A7">
        <w:rPr>
          <w:rFonts w:cs="Times New Roman"/>
          <w:b/>
          <w:bCs/>
          <w:i/>
          <w:iCs/>
        </w:rPr>
        <w:t>_</w:t>
      </w:r>
      <w:r w:rsidR="008C4ABC">
        <w:rPr>
          <w:rFonts w:cs="Times New Roman"/>
          <w:b/>
          <w:bCs/>
          <w:i/>
          <w:iCs/>
        </w:rPr>
        <w:t>Mossy</w:t>
      </w:r>
      <w:r w:rsidR="00FD17BA">
        <w:rPr>
          <w:rFonts w:cs="Times New Roman"/>
          <w:b/>
          <w:bCs/>
          <w:i/>
          <w:iCs/>
        </w:rPr>
        <w:t>_</w:t>
      </w:r>
      <w:r w:rsidR="008C4ABC">
        <w:rPr>
          <w:rFonts w:cs="Times New Roman"/>
          <w:b/>
          <w:bCs/>
          <w:i/>
          <w:iCs/>
        </w:rPr>
        <w:t>BESS</w:t>
      </w:r>
      <w:r w:rsidR="00FD17BA">
        <w:rPr>
          <w:rFonts w:cs="Times New Roman"/>
          <w:b/>
          <w:bCs/>
          <w:i/>
          <w:iCs/>
        </w:rPr>
        <w:t>_</w:t>
      </w:r>
      <w:r w:rsidR="006E56E5">
        <w:rPr>
          <w:rFonts w:cs="Times New Roman"/>
          <w:b/>
          <w:bCs/>
          <w:i/>
          <w:iCs/>
        </w:rPr>
        <w:t>Operation&amp;Test</w:t>
      </w:r>
      <w:r w:rsidR="008C4ABC">
        <w:rPr>
          <w:rFonts w:cs="Times New Roman"/>
          <w:b/>
          <w:bCs/>
          <w:i/>
          <w:iCs/>
        </w:rPr>
        <w:t>.pdf”</w:t>
      </w:r>
      <w:r w:rsidR="00060702">
        <w:rPr>
          <w:rFonts w:cs="Times New Roman"/>
          <w:b/>
          <w:bCs/>
          <w:i/>
          <w:iCs/>
        </w:rPr>
        <w:t>)</w:t>
      </w:r>
      <w:r w:rsidR="00060702">
        <w:rPr>
          <w:rFonts w:cs="Times New Roman"/>
        </w:rPr>
        <w:t>.</w:t>
      </w:r>
    </w:p>
    <w:p w14:paraId="33A3F460" w14:textId="22767DDF" w:rsidR="00085FD6" w:rsidRDefault="002E7A63" w:rsidP="00C1635B">
      <w:pPr>
        <w:pStyle w:val="Heading1"/>
      </w:pPr>
      <w:r>
        <w:t>FINANCIAL ANALYSIS</w:t>
      </w:r>
    </w:p>
    <w:p w14:paraId="288CE456" w14:textId="77777777" w:rsidR="00BE2347" w:rsidRDefault="002E7A63" w:rsidP="00C918CD">
      <w:r>
        <w:t>Consistent with prior practice, the Company is providing the</w:t>
      </w:r>
      <w:r w:rsidR="00BE2347">
        <w:t xml:space="preserve"> following</w:t>
      </w:r>
      <w:r>
        <w:t xml:space="preserve"> financial analysis</w:t>
      </w:r>
      <w:r w:rsidR="00BE2347">
        <w:t xml:space="preserve"> information:</w:t>
      </w:r>
      <w:r>
        <w:t xml:space="preserve"> </w:t>
      </w:r>
    </w:p>
    <w:p w14:paraId="2CB61017" w14:textId="5F9401BE" w:rsidR="001D3C5F" w:rsidRDefault="00BE2347" w:rsidP="00BE2347">
      <w:pPr>
        <w:pStyle w:val="ListParagraph"/>
        <w:numPr>
          <w:ilvl w:val="0"/>
          <w:numId w:val="5"/>
        </w:numPr>
        <w:rPr>
          <w:rFonts w:cs="Times New Roman"/>
        </w:rPr>
      </w:pPr>
      <w:r w:rsidRPr="00BE2347">
        <w:rPr>
          <w:rFonts w:cs="Times New Roman"/>
          <w:b/>
          <w:bCs/>
        </w:rPr>
        <w:t xml:space="preserve">SAM Model. </w:t>
      </w:r>
      <w:r w:rsidR="002E7A63" w:rsidRPr="00BE2347">
        <w:rPr>
          <w:rFonts w:cs="Times New Roman"/>
        </w:rPr>
        <w:t xml:space="preserve">This spreadsheet </w:t>
      </w:r>
      <w:r w:rsidR="001D3C5F">
        <w:rPr>
          <w:rFonts w:cs="Times New Roman"/>
        </w:rPr>
        <w:t xml:space="preserve">provides total project costs and </w:t>
      </w:r>
      <w:r w:rsidR="002E7A63" w:rsidRPr="00BE2347">
        <w:rPr>
          <w:rFonts w:cs="Times New Roman"/>
        </w:rPr>
        <w:t xml:space="preserve">calculates the revenue requirement of the Mossy Branch Battery Facility. </w:t>
      </w:r>
    </w:p>
    <w:p w14:paraId="3DAFC6BD" w14:textId="65EEE3D1" w:rsidR="002E7A63" w:rsidRPr="00BE2347" w:rsidRDefault="00BE2347" w:rsidP="00BB53BF">
      <w:pPr>
        <w:pStyle w:val="ListParagraph"/>
        <w:rPr>
          <w:rFonts w:cs="Times New Roman"/>
        </w:rPr>
      </w:pPr>
      <w:r w:rsidRPr="00BE2347">
        <w:rPr>
          <w:rFonts w:cs="Times New Roman"/>
        </w:rPr>
        <w:t>“</w:t>
      </w:r>
      <w:r w:rsidR="00716C25" w:rsidRPr="00BB53BF">
        <w:rPr>
          <w:rFonts w:cs="Times New Roman"/>
          <w:b/>
          <w:bCs/>
          <w:i/>
          <w:iCs/>
        </w:rPr>
        <w:t>TS_SAM ('20)</w:t>
      </w:r>
      <w:r w:rsidR="00716C25">
        <w:rPr>
          <w:rFonts w:cs="Times New Roman"/>
          <w:b/>
          <w:bCs/>
          <w:i/>
          <w:iCs/>
        </w:rPr>
        <w:t>_</w:t>
      </w:r>
      <w:r w:rsidR="00716C25" w:rsidRPr="00BB53BF">
        <w:rPr>
          <w:rFonts w:cs="Times New Roman"/>
          <w:b/>
          <w:bCs/>
          <w:i/>
          <w:iCs/>
        </w:rPr>
        <w:t>6.0.1_MossyBranch</w:t>
      </w:r>
      <w:r w:rsidR="00716C25">
        <w:rPr>
          <w:rFonts w:cs="Times New Roman"/>
          <w:b/>
          <w:bCs/>
          <w:i/>
          <w:iCs/>
        </w:rPr>
        <w:t>.xlsm</w:t>
      </w:r>
      <w:r w:rsidRPr="00BE2347">
        <w:rPr>
          <w:rFonts w:cs="Times New Roman"/>
        </w:rPr>
        <w:t>”</w:t>
      </w:r>
    </w:p>
    <w:p w14:paraId="6AFB37F8" w14:textId="364C995A" w:rsidR="008630B0" w:rsidRDefault="00AB0E9F" w:rsidP="00C1635B">
      <w:pPr>
        <w:pStyle w:val="Heading1"/>
      </w:pPr>
      <w:r>
        <w:t>PROJECT OBJECTIVES</w:t>
      </w:r>
    </w:p>
    <w:p w14:paraId="0EDB939B" w14:textId="378B967F" w:rsidR="00CE72CA" w:rsidRDefault="007C5C68" w:rsidP="00293B12">
      <w:r>
        <w:t>The objective</w:t>
      </w:r>
      <w:r w:rsidR="00363B4C">
        <w:t>s</w:t>
      </w:r>
      <w:r>
        <w:t xml:space="preserve"> of the Mossy Branch Battery Facility </w:t>
      </w:r>
      <w:r w:rsidR="00CE72CA">
        <w:t>are</w:t>
      </w:r>
      <w:r>
        <w:t xml:space="preserve"> to evaluate in a real-time environment the </w:t>
      </w:r>
      <w:r w:rsidR="00363B4C">
        <w:t xml:space="preserve">commercial operation </w:t>
      </w:r>
      <w:r>
        <w:t>performance of a standalone grid-charging storage asset</w:t>
      </w:r>
      <w:r w:rsidR="00363B4C">
        <w:t xml:space="preserve"> and to refine the BESS operation and maintenance practices </w:t>
      </w:r>
      <w:r w:rsidR="001D3C5F">
        <w:t>such that</w:t>
      </w:r>
      <w:r w:rsidR="00CE72CA">
        <w:t xml:space="preserve"> the asset’s useable lifetime</w:t>
      </w:r>
      <w:r w:rsidR="001D3C5F">
        <w:t xml:space="preserve"> is maximized</w:t>
      </w:r>
      <w:r>
        <w:t xml:space="preserve">. </w:t>
      </w:r>
      <w:r w:rsidR="006B42B0">
        <w:t xml:space="preserve">A </w:t>
      </w:r>
      <w:r w:rsidR="006B42B0">
        <w:lastRenderedPageBreak/>
        <w:t>detailed description of th</w:t>
      </w:r>
      <w:r w:rsidR="001D3C5F">
        <w:t>e</w:t>
      </w:r>
      <w:r w:rsidR="006B42B0">
        <w:t xml:space="preserve"> testing strategy for these objectives has been provided in the </w:t>
      </w:r>
      <w:r w:rsidR="006B42B0">
        <w:rPr>
          <w:rFonts w:cs="Times New Roman"/>
        </w:rPr>
        <w:t xml:space="preserve">attached Mossy Branch Battery Facility Operation and Test </w:t>
      </w:r>
      <w:r w:rsidR="004A340C">
        <w:rPr>
          <w:rFonts w:cs="Times New Roman"/>
        </w:rPr>
        <w:t>Strategy</w:t>
      </w:r>
      <w:r w:rsidR="006B42B0">
        <w:rPr>
          <w:rFonts w:cs="Times New Roman"/>
        </w:rPr>
        <w:t>.</w:t>
      </w:r>
    </w:p>
    <w:p w14:paraId="32952B43" w14:textId="2DC85ACE" w:rsidR="00CE72CA" w:rsidRDefault="00CE72CA" w:rsidP="00C1635B">
      <w:pPr>
        <w:pStyle w:val="Heading2"/>
      </w:pPr>
      <w:r>
        <w:t>Commercial Operation Performance</w:t>
      </w:r>
    </w:p>
    <w:p w14:paraId="3F5AFC19" w14:textId="4A847B89" w:rsidR="00BE2347" w:rsidRDefault="007C5C68" w:rsidP="00293B12">
      <w:r>
        <w:t xml:space="preserve">Unlike storage co-located with solar, a standalone system will be completely dependent on the electric grid for charging. As </w:t>
      </w:r>
      <w:r w:rsidR="00B5128E">
        <w:t>previously mentioned</w:t>
      </w:r>
      <w:r>
        <w:t>, the Company anticipates dispatching the facility remotely utilizing Automatic Generation Control (“AGC”)</w:t>
      </w:r>
      <w:r w:rsidR="00FF1ECA">
        <w:t>, which currently schedules and dispatches other available generation resources. This facility will</w:t>
      </w:r>
      <w:r w:rsidR="00FF3D03">
        <w:t xml:space="preserve"> </w:t>
      </w:r>
      <w:r w:rsidR="00FF5083">
        <w:t xml:space="preserve">aid in </w:t>
      </w:r>
      <w:r w:rsidR="00B5128E">
        <w:t xml:space="preserve">validating daily and seasonal discharge schedules </w:t>
      </w:r>
      <w:r w:rsidR="00FF3D03">
        <w:t>of standalone storage</w:t>
      </w:r>
      <w:r w:rsidR="00C0653A">
        <w:t>. Doing so, will allow operations to optimize the dispatch of these assets</w:t>
      </w:r>
      <w:r w:rsidR="00FF3D03">
        <w:t xml:space="preserve"> to </w:t>
      </w:r>
      <w:r w:rsidR="00C0653A">
        <w:t xml:space="preserve">enhance the </w:t>
      </w:r>
      <w:r w:rsidR="001D3C5F">
        <w:t>s</w:t>
      </w:r>
      <w:r w:rsidR="00C0653A">
        <w:t xml:space="preserve">ystem’s ability to meet demand. </w:t>
      </w:r>
    </w:p>
    <w:p w14:paraId="5257E508" w14:textId="77777777" w:rsidR="00BE2347" w:rsidRDefault="00BE2347" w:rsidP="00293B12"/>
    <w:p w14:paraId="48680E33" w14:textId="57841793" w:rsidR="008630B0" w:rsidRDefault="00F85B61" w:rsidP="00293B12">
      <w:r>
        <w:t xml:space="preserve">The Mossy Branch Battery Facility </w:t>
      </w:r>
      <w:r w:rsidR="008630B0">
        <w:t>will also support demonstrating the potential value streams this type of asset presents to the electric system. To demonstrate this, the Mossy Branch Battery Facility has been designed to perform the following use</w:t>
      </w:r>
      <w:r w:rsidR="00BB53BF">
        <w:t>-</w:t>
      </w:r>
      <w:r w:rsidR="008630B0">
        <w:t>cases</w:t>
      </w:r>
      <w:r w:rsidR="009334B9">
        <w:t xml:space="preserve"> at a minimum</w:t>
      </w:r>
      <w:r w:rsidR="00607E4A">
        <w:t>:</w:t>
      </w:r>
      <w:r w:rsidR="008630B0">
        <w:t xml:space="preserve"> </w:t>
      </w:r>
    </w:p>
    <w:p w14:paraId="6AA6DF7D" w14:textId="77777777" w:rsidR="00BE2347" w:rsidRDefault="00BE2347" w:rsidP="00293B12"/>
    <w:p w14:paraId="4B7D4DAE" w14:textId="66BB7827" w:rsidR="004358E9" w:rsidRPr="00C1635B" w:rsidRDefault="00860BEE" w:rsidP="004358E9">
      <w:pPr>
        <w:ind w:firstLine="720"/>
        <w:rPr>
          <w:b/>
          <w:bCs/>
        </w:rPr>
      </w:pPr>
      <w:bookmarkStart w:id="0" w:name="_Hlk75956053"/>
      <w:r>
        <w:rPr>
          <w:b/>
          <w:bCs/>
        </w:rPr>
        <w:t xml:space="preserve">Operating </w:t>
      </w:r>
      <w:r w:rsidR="004358E9" w:rsidRPr="00C1635B">
        <w:rPr>
          <w:b/>
          <w:bCs/>
        </w:rPr>
        <w:t>Reserves (Spinning, Regulating, Contingency)</w:t>
      </w:r>
    </w:p>
    <w:p w14:paraId="2119F171" w14:textId="4B5AA4D1" w:rsidR="004358E9" w:rsidRDefault="004358E9" w:rsidP="00BB53BF">
      <w:pPr>
        <w:ind w:left="720"/>
      </w:pPr>
      <w:r>
        <w:t>BESS, as a fast response unit, represents a new source of system flexibility</w:t>
      </w:r>
      <w:r w:rsidR="009334B9">
        <w:t>.</w:t>
      </w:r>
      <w:r>
        <w:t xml:space="preserve"> </w:t>
      </w:r>
      <w:r w:rsidR="009334B9">
        <w:t>If called upon, the BESS can rapidly respond to changes in generation and demand faster than traditional generation</w:t>
      </w:r>
      <w:r w:rsidR="001D26FA">
        <w:t xml:space="preserve">. </w:t>
      </w:r>
      <w:r>
        <w:t xml:space="preserve">While the BESS is online and on AGC, any remaining energy capable of being discharged will be incorporated into the spinning, regulating, and contingency reserves calculations. </w:t>
      </w:r>
      <w:r w:rsidR="001D26FA">
        <w:t>This can release other resources to support other system needs.</w:t>
      </w:r>
    </w:p>
    <w:bookmarkEnd w:id="0"/>
    <w:p w14:paraId="7B503EBC" w14:textId="77777777" w:rsidR="004358E9" w:rsidRDefault="004358E9" w:rsidP="004358E9">
      <w:pPr>
        <w:ind w:left="720"/>
      </w:pPr>
    </w:p>
    <w:p w14:paraId="5083A576" w14:textId="7EB33570" w:rsidR="004358E9" w:rsidRPr="00C1635B" w:rsidRDefault="004358E9" w:rsidP="004358E9">
      <w:pPr>
        <w:ind w:firstLine="720"/>
        <w:rPr>
          <w:b/>
          <w:bCs/>
        </w:rPr>
      </w:pPr>
      <w:r w:rsidRPr="00C1635B">
        <w:rPr>
          <w:b/>
          <w:bCs/>
        </w:rPr>
        <w:t>Resource Adequacy / Capacity</w:t>
      </w:r>
      <w:r w:rsidR="00860BEE">
        <w:rPr>
          <w:b/>
          <w:bCs/>
        </w:rPr>
        <w:t xml:space="preserve"> Value</w:t>
      </w:r>
    </w:p>
    <w:p w14:paraId="656F80BF" w14:textId="4768AEFF" w:rsidR="004358E9" w:rsidRDefault="004358E9" w:rsidP="004358E9">
      <w:pPr>
        <w:ind w:left="720"/>
      </w:pPr>
      <w:r w:rsidRPr="00C1635B">
        <w:t>Re</w:t>
      </w:r>
      <w:r>
        <w:t>source supply capacity defines the minimum amount of capacity required to meet the load under non-extreme operating conditions. BESS can be part of the resources that aid in meeting resource adequacy by committing the BESS to capacity during periods where it is deemed to have capacity value. This effectively translates into an operating constraint whereby the BESS could support other use</w:t>
      </w:r>
      <w:r w:rsidR="00BB53BF">
        <w:t>-</w:t>
      </w:r>
      <w:r>
        <w:t xml:space="preserve">cases but would need to achieve a minimum State of Charge (“SOC”) by the beginning of the period where it has capacity value to support the resource supply capacity minimum requirements. </w:t>
      </w:r>
    </w:p>
    <w:p w14:paraId="4E591B68" w14:textId="1C47AEBF" w:rsidR="004358E9" w:rsidRDefault="004358E9" w:rsidP="00C1635B">
      <w:pPr>
        <w:ind w:firstLine="720"/>
        <w:rPr>
          <w:b/>
          <w:bCs/>
        </w:rPr>
      </w:pPr>
    </w:p>
    <w:p w14:paraId="05079E85" w14:textId="77777777" w:rsidR="001D26FA" w:rsidRDefault="001D26FA" w:rsidP="00C1635B">
      <w:pPr>
        <w:ind w:firstLine="720"/>
        <w:rPr>
          <w:b/>
          <w:bCs/>
        </w:rPr>
      </w:pPr>
    </w:p>
    <w:p w14:paraId="6E4EEAE2" w14:textId="7A6E747C" w:rsidR="00F85B61" w:rsidRPr="00C1635B" w:rsidRDefault="005A46A2" w:rsidP="00C1635B">
      <w:pPr>
        <w:ind w:firstLine="720"/>
        <w:rPr>
          <w:b/>
          <w:bCs/>
        </w:rPr>
      </w:pPr>
      <w:r w:rsidRPr="00C1635B">
        <w:rPr>
          <w:b/>
          <w:bCs/>
        </w:rPr>
        <w:t xml:space="preserve">Generation Shifting / </w:t>
      </w:r>
      <w:r w:rsidR="00860BEE">
        <w:rPr>
          <w:b/>
          <w:bCs/>
        </w:rPr>
        <w:t>Energy Arbitrage / Energy Benefit</w:t>
      </w:r>
    </w:p>
    <w:p w14:paraId="4D0AEDD9" w14:textId="4D0711A5" w:rsidR="005A46A2" w:rsidRDefault="005A46A2" w:rsidP="00C1635B">
      <w:pPr>
        <w:ind w:left="720"/>
      </w:pPr>
      <w:r>
        <w:t>Utility</w:t>
      </w:r>
      <w:r w:rsidR="00BB53BF">
        <w:t xml:space="preserve"> </w:t>
      </w:r>
      <w:r>
        <w:t>scale BESS, unlike traditional generation resources, have the capability to flatten the effective system load shape</w:t>
      </w:r>
      <w:r w:rsidR="00984F27">
        <w:t>. This is accomplished</w:t>
      </w:r>
      <w:r>
        <w:t xml:space="preserve"> by charging </w:t>
      </w:r>
      <w:r w:rsidR="00CA46FD">
        <w:t xml:space="preserve">and storing energy </w:t>
      </w:r>
      <w:r>
        <w:t xml:space="preserve">during periods of low </w:t>
      </w:r>
      <w:r w:rsidR="00BB53BF">
        <w:t xml:space="preserve">demand </w:t>
      </w:r>
      <w:r w:rsidR="00CA46FD">
        <w:t xml:space="preserve">then </w:t>
      </w:r>
      <w:r w:rsidR="00BB53BF">
        <w:t xml:space="preserve">discharging energy to </w:t>
      </w:r>
      <w:r>
        <w:t>serv</w:t>
      </w:r>
      <w:r w:rsidR="00BB53BF">
        <w:t>e</w:t>
      </w:r>
      <w:r>
        <w:t xml:space="preserve"> load during high </w:t>
      </w:r>
      <w:r w:rsidR="00BB53BF">
        <w:t xml:space="preserve">demand </w:t>
      </w:r>
      <w:r>
        <w:t>periods.</w:t>
      </w:r>
      <w:r w:rsidR="00CA46FD">
        <w:t xml:space="preserve"> </w:t>
      </w:r>
      <w:r w:rsidR="00984F27">
        <w:t xml:space="preserve">This shifting of energy allows the Company to maximize the utilization of renewable energy production </w:t>
      </w:r>
      <w:r w:rsidR="003D4BF5">
        <w:t>and</w:t>
      </w:r>
      <w:r w:rsidR="00984F27">
        <w:t xml:space="preserve"> helps manage unit cycling to meet customer energy demands during peak periods. </w:t>
      </w:r>
    </w:p>
    <w:p w14:paraId="0311EFB3" w14:textId="62254E90" w:rsidR="00051BF1" w:rsidRDefault="00051BF1" w:rsidP="00C1635B">
      <w:pPr>
        <w:ind w:left="720"/>
      </w:pPr>
    </w:p>
    <w:p w14:paraId="7661C0D5" w14:textId="774AD3EF" w:rsidR="00051BF1" w:rsidRPr="00C1635B" w:rsidRDefault="00051BF1" w:rsidP="00C1635B">
      <w:pPr>
        <w:ind w:firstLine="720"/>
        <w:rPr>
          <w:b/>
          <w:bCs/>
        </w:rPr>
      </w:pPr>
      <w:r w:rsidRPr="00C1635B">
        <w:rPr>
          <w:b/>
          <w:bCs/>
        </w:rPr>
        <w:t>Frequency Regulation / Automatic Generation Control</w:t>
      </w:r>
      <w:r w:rsidR="00A95F6D" w:rsidRPr="00C1635B">
        <w:rPr>
          <w:b/>
          <w:bCs/>
        </w:rPr>
        <w:t xml:space="preserve"> </w:t>
      </w:r>
    </w:p>
    <w:p w14:paraId="530BB3D2" w14:textId="6FE42397" w:rsidR="00051BF1" w:rsidRDefault="00051BF1" w:rsidP="00C1635B">
      <w:pPr>
        <w:ind w:left="720"/>
        <w:rPr>
          <w:rFonts w:eastAsia="Times New Roman"/>
          <w:color w:val="000000"/>
        </w:rPr>
      </w:pPr>
      <w:r>
        <w:rPr>
          <w:rFonts w:eastAsia="Times New Roman"/>
          <w:color w:val="000000"/>
        </w:rPr>
        <w:t>System frequency and inter</w:t>
      </w:r>
      <w:r w:rsidR="00A95F6D">
        <w:rPr>
          <w:rFonts w:eastAsia="Times New Roman"/>
          <w:color w:val="000000"/>
        </w:rPr>
        <w:t>-</w:t>
      </w:r>
      <w:r>
        <w:rPr>
          <w:rFonts w:eastAsia="Times New Roman"/>
          <w:color w:val="000000"/>
        </w:rPr>
        <w:t xml:space="preserve">area flows are controlled by a combination of frequency droop control and </w:t>
      </w:r>
      <w:r w:rsidR="00A95F6D">
        <w:rPr>
          <w:rFonts w:eastAsia="Times New Roman"/>
          <w:color w:val="000000"/>
        </w:rPr>
        <w:t>AGC</w:t>
      </w:r>
      <w:r>
        <w:rPr>
          <w:rFonts w:eastAsia="Times New Roman"/>
          <w:color w:val="000000"/>
        </w:rPr>
        <w:t xml:space="preserve"> by dedicated generators. </w:t>
      </w:r>
      <w:r w:rsidR="00887247">
        <w:rPr>
          <w:rFonts w:eastAsia="Times New Roman"/>
          <w:color w:val="000000"/>
        </w:rPr>
        <w:t xml:space="preserve">The balance between generation and load and the subsequent management of frequency is calculated via the area control error (“ACE”) equation. When system events occur that cause the ACE value to move outside </w:t>
      </w:r>
      <w:r w:rsidR="00F40543">
        <w:rPr>
          <w:rFonts w:eastAsia="Times New Roman"/>
          <w:color w:val="000000"/>
        </w:rPr>
        <w:t>the prescribed limits, generators controlled by AGC will be sent signals to maneuver and respond</w:t>
      </w:r>
      <w:r w:rsidR="00C00BE3">
        <w:rPr>
          <w:rFonts w:eastAsia="Times New Roman"/>
          <w:color w:val="000000"/>
        </w:rPr>
        <w:t xml:space="preserve"> accordingly</w:t>
      </w:r>
      <w:r w:rsidR="00F40543">
        <w:rPr>
          <w:rFonts w:eastAsia="Times New Roman"/>
          <w:color w:val="000000"/>
        </w:rPr>
        <w:t xml:space="preserve">. By allowing the BESS to be placed on AGC control, the facility can </w:t>
      </w:r>
      <w:r w:rsidR="00C00BE3">
        <w:rPr>
          <w:rFonts w:eastAsia="Times New Roman"/>
          <w:color w:val="000000"/>
        </w:rPr>
        <w:t>use its sub-second response capability to respond</w:t>
      </w:r>
      <w:r w:rsidR="00F40543">
        <w:rPr>
          <w:rFonts w:eastAsia="Times New Roman"/>
          <w:color w:val="000000"/>
        </w:rPr>
        <w:t xml:space="preserve"> to these excursions</w:t>
      </w:r>
      <w:r w:rsidR="00C00BE3">
        <w:rPr>
          <w:rFonts w:eastAsia="Times New Roman"/>
          <w:color w:val="000000"/>
        </w:rPr>
        <w:t xml:space="preserve">. Using the BESS to perform this role </w:t>
      </w:r>
      <w:r w:rsidR="00B5128E">
        <w:rPr>
          <w:rFonts w:eastAsia="Times New Roman"/>
          <w:color w:val="000000"/>
        </w:rPr>
        <w:t xml:space="preserve">should </w:t>
      </w:r>
      <w:r w:rsidR="00C00BE3">
        <w:rPr>
          <w:rFonts w:eastAsia="Times New Roman"/>
          <w:color w:val="000000"/>
        </w:rPr>
        <w:t>decrease the time needed to bring</w:t>
      </w:r>
      <w:r w:rsidR="00F40543">
        <w:rPr>
          <w:rFonts w:eastAsia="Times New Roman"/>
          <w:color w:val="000000"/>
        </w:rPr>
        <w:t xml:space="preserve"> </w:t>
      </w:r>
      <w:r w:rsidR="00C00BE3">
        <w:rPr>
          <w:rFonts w:eastAsia="Times New Roman"/>
          <w:color w:val="000000"/>
        </w:rPr>
        <w:t xml:space="preserve">the system back in balance, as compared to traditional generation resources. </w:t>
      </w:r>
    </w:p>
    <w:p w14:paraId="356E698E" w14:textId="67D43929" w:rsidR="002B771C" w:rsidRDefault="002B771C" w:rsidP="00C1635B">
      <w:pPr>
        <w:ind w:left="720"/>
        <w:rPr>
          <w:rFonts w:eastAsia="Times New Roman"/>
          <w:color w:val="000000"/>
        </w:rPr>
      </w:pPr>
    </w:p>
    <w:p w14:paraId="53A1CC29" w14:textId="320448A1" w:rsidR="002B771C" w:rsidRPr="00C1635B" w:rsidRDefault="002B771C" w:rsidP="00C1635B">
      <w:pPr>
        <w:ind w:firstLine="720"/>
        <w:rPr>
          <w:b/>
          <w:bCs/>
        </w:rPr>
      </w:pPr>
      <w:r w:rsidRPr="00C1635B">
        <w:rPr>
          <w:b/>
          <w:bCs/>
        </w:rPr>
        <w:t>Voltage Regulation / Reactive Power Support</w:t>
      </w:r>
    </w:p>
    <w:p w14:paraId="69631823" w14:textId="1E363E36" w:rsidR="002B771C" w:rsidRDefault="009D7A90" w:rsidP="00C1635B">
      <w:pPr>
        <w:ind w:left="720"/>
      </w:pPr>
      <w:r>
        <w:t>Similar to other inverter</w:t>
      </w:r>
      <w:r w:rsidR="003D4BF5">
        <w:t>-</w:t>
      </w:r>
      <w:r>
        <w:t>based generation, the BESS can provide power factor control by the inverter acting as a voltage source and operating in all four quadrants of the rated apparent power circle. This allows for the inverter to not only charge or discharge the battery, but to also supply or consume reactive power. This reactive power capability can be used to support the transmission system by either adjusting the</w:t>
      </w:r>
      <w:r w:rsidR="003E7C83">
        <w:t xml:space="preserve"> BESS output reactive power in response to changes to the voltage at the point of interconnection or by following set-points from the transmission management system or the energy management system. </w:t>
      </w:r>
    </w:p>
    <w:p w14:paraId="2D5D4A17" w14:textId="223A9687" w:rsidR="007C5C68" w:rsidRDefault="007C5C68" w:rsidP="00293B12"/>
    <w:p w14:paraId="3E7C0185" w14:textId="23218023" w:rsidR="00363B4C" w:rsidRDefault="00363B4C" w:rsidP="00293B12">
      <w:r>
        <w:lastRenderedPageBreak/>
        <w:t>In addition to testing each use</w:t>
      </w:r>
      <w:r w:rsidR="00BB53BF">
        <w:t>-</w:t>
      </w:r>
      <w:r>
        <w:t xml:space="preserve">case individually, the Mossy </w:t>
      </w:r>
      <w:r w:rsidR="00FB4C27">
        <w:t xml:space="preserve">Branch Battery Facility will also be capable of </w:t>
      </w:r>
      <w:r w:rsidR="009334B9">
        <w:t>value</w:t>
      </w:r>
      <w:r w:rsidR="00BB53BF">
        <w:t xml:space="preserve"> </w:t>
      </w:r>
      <w:r w:rsidR="00FB4C27">
        <w:t>stacking</w:t>
      </w:r>
      <w:r w:rsidR="009334B9">
        <w:t>, or also referred to as use</w:t>
      </w:r>
      <w:r w:rsidR="00BB53BF">
        <w:t>-</w:t>
      </w:r>
      <w:r w:rsidR="009334B9">
        <w:t>case stacking</w:t>
      </w:r>
      <w:r w:rsidR="006B2827">
        <w:t xml:space="preserve">. </w:t>
      </w:r>
      <w:r>
        <w:t xml:space="preserve">Stacking these applications during operation will help the Company determine which use-cases are complementary to each other and how best to utilize the applications during different times of the day and throughout the year. </w:t>
      </w:r>
    </w:p>
    <w:p w14:paraId="3CAD6F37" w14:textId="2C4E623D" w:rsidR="00FB4C27" w:rsidRDefault="00FB4C27" w:rsidP="00293B12"/>
    <w:p w14:paraId="153ED65E" w14:textId="3210606F" w:rsidR="00FB4C27" w:rsidRDefault="00CE72CA" w:rsidP="00CE72CA">
      <w:pPr>
        <w:pStyle w:val="Heading2"/>
      </w:pPr>
      <w:r>
        <w:t>Long Term Operation &amp; Maintenance</w:t>
      </w:r>
    </w:p>
    <w:p w14:paraId="1C6CA6D9" w14:textId="58A1C25F" w:rsidR="006B42B0" w:rsidRDefault="00A61E9A" w:rsidP="00CE72CA">
      <w:r>
        <w:t xml:space="preserve">The Company will develop key performance indicators for the Mossy Branch Battery Facility to inform and refine BESS operation and preventive maintenance practices. </w:t>
      </w:r>
      <w:r w:rsidR="00C44F25">
        <w:t>This will support maximizing the BESS</w:t>
      </w:r>
      <w:r w:rsidR="006B42B0">
        <w:t>’s value over its lifetime</w:t>
      </w:r>
      <w:r w:rsidR="00C44F25">
        <w:t xml:space="preserve">. </w:t>
      </w:r>
    </w:p>
    <w:p w14:paraId="1777FF69" w14:textId="77777777" w:rsidR="006B42B0" w:rsidRDefault="006B42B0" w:rsidP="00CE72CA"/>
    <w:p w14:paraId="4311870F" w14:textId="095B376F" w:rsidR="00C83178" w:rsidRDefault="006B42B0" w:rsidP="00CE72CA">
      <w:r>
        <w:t xml:space="preserve">By analyzing the operational performance of the BESS relative to different factors, the Company can properly set future BESS operating constraints such that the Company can enhance the facility’s reliability and extend its useful life. Factors such as average </w:t>
      </w:r>
      <w:r w:rsidR="00D930F3">
        <w:t>cycles per day</w:t>
      </w:r>
      <w:r>
        <w:t xml:space="preserve">, state of charge, and </w:t>
      </w:r>
      <w:r w:rsidR="00D930F3">
        <w:t>temperature all have impacts on the battery’s degradation, and ultimately the available useable energy. Analyzing these factors in conjunction with the dispatch schedule</w:t>
      </w:r>
      <w:r w:rsidR="005820DB">
        <w:t xml:space="preserve"> will help optimize the commercial operation such that the BESS </w:t>
      </w:r>
      <w:r w:rsidR="001E6760">
        <w:t xml:space="preserve">dispatch cost considers the </w:t>
      </w:r>
      <w:r w:rsidR="00424EBE">
        <w:t xml:space="preserve">impact to </w:t>
      </w:r>
      <w:r w:rsidR="00C83178">
        <w:t xml:space="preserve">battery </w:t>
      </w:r>
      <w:r w:rsidR="00424EBE">
        <w:t xml:space="preserve">degradation. </w:t>
      </w:r>
    </w:p>
    <w:p w14:paraId="007E53A3" w14:textId="77777777" w:rsidR="00C83178" w:rsidRDefault="00C83178" w:rsidP="00CE72CA"/>
    <w:p w14:paraId="39505E90" w14:textId="6CC562CA" w:rsidR="00CE72CA" w:rsidRPr="00C1635B" w:rsidRDefault="00C83178" w:rsidP="00C1635B">
      <w:r>
        <w:t xml:space="preserve">The Company anticipates </w:t>
      </w:r>
      <w:r w:rsidR="00D95C0C">
        <w:t xml:space="preserve">utilizing the support of the Engineering, Procurement, and Construction (“EPC”) Contractor for </w:t>
      </w:r>
      <w:r w:rsidR="00E42153">
        <w:t xml:space="preserve">understanding the preventive maintenance and monitoring requirements to assure equipment reliability. </w:t>
      </w:r>
      <w:r w:rsidR="009A1CE7">
        <w:t xml:space="preserve">While the Company has experience with inverter technology, utility scale battery storage requires different </w:t>
      </w:r>
      <w:r w:rsidR="00B9655A">
        <w:t xml:space="preserve">maintenance tasks and training. The Mossy Branch Battery Facility will help </w:t>
      </w:r>
      <w:r w:rsidR="0092730E">
        <w:t xml:space="preserve">inform </w:t>
      </w:r>
      <w:r w:rsidR="00B9655A">
        <w:t xml:space="preserve">the Company’s maintenance program </w:t>
      </w:r>
      <w:r w:rsidR="0092730E">
        <w:t xml:space="preserve">on items such as the necessary maintenance, labor, </w:t>
      </w:r>
      <w:r w:rsidR="00B9655A">
        <w:t xml:space="preserve">and </w:t>
      </w:r>
      <w:r w:rsidR="0092730E">
        <w:t xml:space="preserve">spare parts for utility scale BESS, which will </w:t>
      </w:r>
      <w:r w:rsidR="00B9655A">
        <w:t xml:space="preserve">subsequently support providing efficient and effective maintenance for future storage facilities.  </w:t>
      </w:r>
      <w:r w:rsidR="00E42153">
        <w:t xml:space="preserve"> </w:t>
      </w:r>
      <w:r w:rsidR="00D95C0C">
        <w:t xml:space="preserve"> </w:t>
      </w:r>
      <w:r w:rsidR="00424EBE">
        <w:t xml:space="preserve"> </w:t>
      </w:r>
      <w:r w:rsidR="00D930F3">
        <w:t xml:space="preserve">  </w:t>
      </w:r>
    </w:p>
    <w:p w14:paraId="7FBD9379" w14:textId="26CF72D5" w:rsidR="00293B12" w:rsidRDefault="00293B12" w:rsidP="00293B12"/>
    <w:p w14:paraId="72889AF4" w14:textId="77777777" w:rsidR="00C44F25" w:rsidRDefault="00C44F25" w:rsidP="00C1635B">
      <w:pPr>
        <w:pStyle w:val="Heading1"/>
      </w:pPr>
      <w:r>
        <w:lastRenderedPageBreak/>
        <w:t>ENGINEERING, PROCUREMENT, AND CONSTRUCTION</w:t>
      </w:r>
    </w:p>
    <w:p w14:paraId="2E9E422C" w14:textId="6768CAA9" w:rsidR="00B73B9B" w:rsidRDefault="00C44F25" w:rsidP="00C44F25">
      <w:pPr>
        <w:rPr>
          <w:rFonts w:cs="Times New Roman"/>
          <w:b/>
          <w:bCs/>
          <w:i/>
          <w:iCs/>
        </w:rPr>
      </w:pPr>
      <w:r>
        <w:t xml:space="preserve">Through a competitive solicitation in accordance with the </w:t>
      </w:r>
      <w:r w:rsidR="008F41FE">
        <w:t>Order</w:t>
      </w:r>
      <w:r>
        <w:t xml:space="preserve">, the Company has selected </w:t>
      </w:r>
      <w:r w:rsidR="00B55423">
        <w:t>a</w:t>
      </w:r>
      <w:r w:rsidR="00D30079">
        <w:t>n EPC Contractor</w:t>
      </w:r>
      <w:r w:rsidR="00D30079">
        <w:rPr>
          <w:rFonts w:cs="Times New Roman"/>
        </w:rPr>
        <w:t xml:space="preserve"> </w:t>
      </w:r>
      <w:r>
        <w:rPr>
          <w:rFonts w:cs="Times New Roman"/>
        </w:rPr>
        <w:t xml:space="preserve">to provide the EPC services for the Mossy Branch Battery Facility. </w:t>
      </w:r>
      <w:r w:rsidR="000C77C6">
        <w:rPr>
          <w:rFonts w:cs="Times New Roman"/>
        </w:rPr>
        <w:t>The Company</w:t>
      </w:r>
      <w:r w:rsidR="00014F9A">
        <w:rPr>
          <w:rFonts w:cs="Times New Roman"/>
        </w:rPr>
        <w:t>’s evaluation</w:t>
      </w:r>
      <w:r w:rsidR="000C77C6">
        <w:rPr>
          <w:rFonts w:cs="Times New Roman"/>
        </w:rPr>
        <w:t xml:space="preserve"> considered project costs</w:t>
      </w:r>
      <w:r w:rsidR="00014F9A">
        <w:rPr>
          <w:rFonts w:cs="Times New Roman"/>
        </w:rPr>
        <w:t>,</w:t>
      </w:r>
      <w:r w:rsidR="000C77C6">
        <w:rPr>
          <w:rFonts w:cs="Times New Roman"/>
        </w:rPr>
        <w:t xml:space="preserve"> </w:t>
      </w:r>
      <w:r w:rsidR="00014F9A">
        <w:rPr>
          <w:rFonts w:cs="Times New Roman"/>
        </w:rPr>
        <w:t xml:space="preserve">level of experience, technology performance, reliability, and safety. </w:t>
      </w:r>
      <w:r w:rsidR="001C17F8">
        <w:rPr>
          <w:rFonts w:cs="Times New Roman"/>
        </w:rPr>
        <w:t>Once finalized, t</w:t>
      </w:r>
      <w:r>
        <w:rPr>
          <w:rFonts w:cs="Times New Roman"/>
        </w:rPr>
        <w:t>h</w:t>
      </w:r>
      <w:r w:rsidR="007631B4">
        <w:rPr>
          <w:rFonts w:cs="Times New Roman"/>
        </w:rPr>
        <w:t xml:space="preserve">e </w:t>
      </w:r>
      <w:r>
        <w:rPr>
          <w:rFonts w:cs="Times New Roman"/>
        </w:rPr>
        <w:t xml:space="preserve">EPC agreement </w:t>
      </w:r>
      <w:r w:rsidR="007631B4">
        <w:rPr>
          <w:rFonts w:cs="Times New Roman"/>
        </w:rPr>
        <w:t xml:space="preserve">will provide </w:t>
      </w:r>
      <w:r>
        <w:rPr>
          <w:rFonts w:cs="Times New Roman"/>
        </w:rPr>
        <w:t>a turnkey, lump-sum agreement for construction of the BESS and auxiliary equipment</w:t>
      </w:r>
      <w:r w:rsidR="007631B4">
        <w:rPr>
          <w:rFonts w:cs="Times New Roman"/>
        </w:rPr>
        <w:t>, with terms similar to those</w:t>
      </w:r>
      <w:r>
        <w:rPr>
          <w:rFonts w:cs="Times New Roman"/>
        </w:rPr>
        <w:t xml:space="preserve"> of the Company’s other EPC agreements that have been executed in connection with recent self-build renewable projects. The agreement </w:t>
      </w:r>
      <w:r w:rsidRPr="00B62DE5">
        <w:rPr>
          <w:rFonts w:cs="Times New Roman"/>
        </w:rPr>
        <w:t xml:space="preserve">will require milestone payments by the Company only upon contractor achievement of specified construction milestones. </w:t>
      </w:r>
      <w:r w:rsidR="00B55423" w:rsidRPr="00B62DE5">
        <w:rPr>
          <w:rFonts w:cs="Times New Roman"/>
        </w:rPr>
        <w:t xml:space="preserve">Consistent with prior projects, </w:t>
      </w:r>
      <w:r w:rsidR="00B55423">
        <w:rPr>
          <w:rFonts w:cs="Times New Roman"/>
        </w:rPr>
        <w:t xml:space="preserve">the Company will </w:t>
      </w:r>
      <w:r w:rsidR="00326F36">
        <w:rPr>
          <w:rFonts w:cs="Times New Roman"/>
        </w:rPr>
        <w:t xml:space="preserve"> submit</w:t>
      </w:r>
      <w:r w:rsidR="00B55423">
        <w:rPr>
          <w:rFonts w:cs="Times New Roman"/>
        </w:rPr>
        <w:t xml:space="preserve"> the </w:t>
      </w:r>
      <w:r w:rsidR="00B55423" w:rsidRPr="00B62DE5">
        <w:rPr>
          <w:rFonts w:cs="Times New Roman"/>
        </w:rPr>
        <w:t>EP</w:t>
      </w:r>
      <w:r w:rsidR="00B55423">
        <w:rPr>
          <w:rFonts w:cs="Times New Roman"/>
        </w:rPr>
        <w:t>C agreement</w:t>
      </w:r>
      <w:r w:rsidR="00B55423" w:rsidRPr="00B62DE5">
        <w:rPr>
          <w:rFonts w:cs="Times New Roman"/>
        </w:rPr>
        <w:t xml:space="preserve"> to the Commission </w:t>
      </w:r>
      <w:r w:rsidR="00326F36">
        <w:rPr>
          <w:rFonts w:cs="Times New Roman"/>
        </w:rPr>
        <w:t xml:space="preserve">once </w:t>
      </w:r>
      <w:r w:rsidR="00CA0FAC">
        <w:rPr>
          <w:rFonts w:cs="Times New Roman"/>
        </w:rPr>
        <w:t>finalized</w:t>
      </w:r>
      <w:r w:rsidR="00B55423" w:rsidRPr="00B62DE5">
        <w:rPr>
          <w:rFonts w:cs="Times New Roman"/>
        </w:rPr>
        <w:t>.</w:t>
      </w:r>
      <w:r w:rsidR="00B55423">
        <w:rPr>
          <w:rFonts w:cs="Times New Roman"/>
        </w:rPr>
        <w:t xml:space="preserve"> </w:t>
      </w:r>
    </w:p>
    <w:p w14:paraId="0379E9C4" w14:textId="77777777" w:rsidR="00B73B9B" w:rsidRDefault="00B73B9B" w:rsidP="00C44F25">
      <w:pPr>
        <w:rPr>
          <w:rFonts w:cs="Times New Roman"/>
        </w:rPr>
      </w:pPr>
    </w:p>
    <w:p w14:paraId="7DAD755A" w14:textId="085D6F0D" w:rsidR="00C44F25" w:rsidRDefault="00C44F25" w:rsidP="00C44F25">
      <w:pPr>
        <w:rPr>
          <w:rFonts w:cs="Times New Roman"/>
        </w:rPr>
      </w:pPr>
      <w:r>
        <w:rPr>
          <w:rFonts w:cs="Times New Roman"/>
        </w:rPr>
        <w:t>The Company will perform the transmission and interconnection work at the substation to deliver grid power at 115 kV to interconnect to the 34.5 kV Mossy Branch Battery Facility.</w:t>
      </w:r>
    </w:p>
    <w:p w14:paraId="6D726F15" w14:textId="77777777" w:rsidR="00C44F25" w:rsidRDefault="00C44F25" w:rsidP="00C44F25">
      <w:pPr>
        <w:rPr>
          <w:rFonts w:cs="Times New Roman"/>
        </w:rPr>
      </w:pPr>
    </w:p>
    <w:p w14:paraId="5A1C6BB8" w14:textId="77777777" w:rsidR="00C44F25" w:rsidRDefault="00C44F25" w:rsidP="00C44F25">
      <w:pPr>
        <w:rPr>
          <w:rFonts w:cs="Times New Roman"/>
        </w:rPr>
      </w:pPr>
      <w:r>
        <w:rPr>
          <w:rFonts w:cs="Times New Roman"/>
        </w:rPr>
        <w:t xml:space="preserve">The Company anticipates work beginning in September 2021, with declaration of Commercial Operation expected in September 2023. </w:t>
      </w:r>
    </w:p>
    <w:p w14:paraId="0F5D4BB0" w14:textId="77777777" w:rsidR="00C44F25" w:rsidRDefault="00C44F25" w:rsidP="00C44F25">
      <w:pPr>
        <w:rPr>
          <w:highlight w:val="yellow"/>
        </w:rPr>
      </w:pPr>
    </w:p>
    <w:p w14:paraId="4BD7EAFC" w14:textId="77777777" w:rsidR="00293B12" w:rsidRPr="00293B12" w:rsidRDefault="00293B12" w:rsidP="00293B12"/>
    <w:sectPr w:rsidR="00293B12" w:rsidRPr="00293B1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96A2B" w14:textId="77777777" w:rsidR="00C83FCC" w:rsidRDefault="00C83FCC" w:rsidP="00C83FCC">
      <w:r>
        <w:separator/>
      </w:r>
    </w:p>
  </w:endnote>
  <w:endnote w:type="continuationSeparator" w:id="0">
    <w:p w14:paraId="19709E98" w14:textId="77777777" w:rsidR="00C83FCC" w:rsidRDefault="00C83FCC" w:rsidP="00C8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2A952" w14:textId="77777777" w:rsidR="00BA5B02" w:rsidRDefault="00BA5B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4812535"/>
      <w:docPartObj>
        <w:docPartGallery w:val="Page Numbers (Bottom of Page)"/>
        <w:docPartUnique/>
      </w:docPartObj>
    </w:sdtPr>
    <w:sdtEndPr>
      <w:rPr>
        <w:noProof/>
      </w:rPr>
    </w:sdtEndPr>
    <w:sdtContent>
      <w:p w14:paraId="621A7901" w14:textId="38BA3D3B" w:rsidR="00BA5B02" w:rsidRDefault="00BA5B0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B9CF9C5" w14:textId="77777777" w:rsidR="00BA5B02" w:rsidRDefault="00BA5B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F852A" w14:textId="77777777" w:rsidR="00BA5B02" w:rsidRDefault="00BA5B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EC8DF" w14:textId="77777777" w:rsidR="00C83FCC" w:rsidRDefault="00C83FCC" w:rsidP="00C83FCC">
      <w:r>
        <w:separator/>
      </w:r>
    </w:p>
  </w:footnote>
  <w:footnote w:type="continuationSeparator" w:id="0">
    <w:p w14:paraId="7FCC771C" w14:textId="77777777" w:rsidR="00C83FCC" w:rsidRDefault="00C83FCC" w:rsidP="00C83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9D8DB" w14:textId="77777777" w:rsidR="00BA5B02" w:rsidRDefault="00BA5B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8619E" w14:textId="5EB48826" w:rsidR="00716C25" w:rsidRDefault="00716C25">
    <w:pPr>
      <w:pStyle w:val="Header"/>
    </w:pPr>
    <w:r>
      <w:rPr>
        <w:noProof/>
      </w:rPr>
      <w:drawing>
        <wp:inline distT="0" distB="0" distL="0" distR="0" wp14:anchorId="34B6B5A6" wp14:editId="5F4A6AA6">
          <wp:extent cx="5943600" cy="603833"/>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_temp_header.jpg"/>
                  <pic:cNvPicPr/>
                </pic:nvPicPr>
                <pic:blipFill>
                  <a:blip r:embed="rId1">
                    <a:extLst>
                      <a:ext uri="{28A0092B-C50C-407E-A947-70E740481C1C}">
                        <a14:useLocalDpi xmlns:a14="http://schemas.microsoft.com/office/drawing/2010/main" val="0"/>
                      </a:ext>
                    </a:extLst>
                  </a:blip>
                  <a:stretch>
                    <a:fillRect/>
                  </a:stretch>
                </pic:blipFill>
                <pic:spPr>
                  <a:xfrm>
                    <a:off x="0" y="0"/>
                    <a:ext cx="5943600" cy="603833"/>
                  </a:xfrm>
                  <a:prstGeom prst="rect">
                    <a:avLst/>
                  </a:prstGeom>
                </pic:spPr>
              </pic:pic>
            </a:graphicData>
          </a:graphic>
        </wp:inline>
      </w:drawing>
    </w:r>
  </w:p>
  <w:p w14:paraId="32C360FB" w14:textId="77777777" w:rsidR="00716C25" w:rsidRDefault="00716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9F5A" w14:textId="77777777" w:rsidR="00BA5B02" w:rsidRDefault="00BA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569D1"/>
    <w:multiLevelType w:val="hybridMultilevel"/>
    <w:tmpl w:val="4F76CA2C"/>
    <w:lvl w:ilvl="0" w:tplc="A804313C">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02081"/>
    <w:multiLevelType w:val="hybridMultilevel"/>
    <w:tmpl w:val="D6120D54"/>
    <w:lvl w:ilvl="0" w:tplc="B5A89B0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A31F25"/>
    <w:multiLevelType w:val="hybridMultilevel"/>
    <w:tmpl w:val="FFF02FC8"/>
    <w:lvl w:ilvl="0" w:tplc="85BE4838">
      <w:start w:val="201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8E1ABF"/>
    <w:multiLevelType w:val="hybridMultilevel"/>
    <w:tmpl w:val="5552B900"/>
    <w:lvl w:ilvl="0" w:tplc="B0A411C6">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992689"/>
    <w:multiLevelType w:val="hybridMultilevel"/>
    <w:tmpl w:val="7B7E2A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CC"/>
    <w:rsid w:val="00014F9A"/>
    <w:rsid w:val="000235A7"/>
    <w:rsid w:val="00051BF1"/>
    <w:rsid w:val="00053687"/>
    <w:rsid w:val="00060702"/>
    <w:rsid w:val="00085FD6"/>
    <w:rsid w:val="000C77C6"/>
    <w:rsid w:val="001C17F8"/>
    <w:rsid w:val="001D26FA"/>
    <w:rsid w:val="001D3C5F"/>
    <w:rsid w:val="001E6760"/>
    <w:rsid w:val="00241DE5"/>
    <w:rsid w:val="002466EB"/>
    <w:rsid w:val="00247283"/>
    <w:rsid w:val="00277725"/>
    <w:rsid w:val="00293B12"/>
    <w:rsid w:val="002B771C"/>
    <w:rsid w:val="002C4797"/>
    <w:rsid w:val="002E7A63"/>
    <w:rsid w:val="00326F36"/>
    <w:rsid w:val="00331C7C"/>
    <w:rsid w:val="003358B7"/>
    <w:rsid w:val="00346471"/>
    <w:rsid w:val="00363B4C"/>
    <w:rsid w:val="0038649E"/>
    <w:rsid w:val="003912F9"/>
    <w:rsid w:val="003B752C"/>
    <w:rsid w:val="003D4BF5"/>
    <w:rsid w:val="003E7B7D"/>
    <w:rsid w:val="003E7C83"/>
    <w:rsid w:val="003F06C2"/>
    <w:rsid w:val="00424EBE"/>
    <w:rsid w:val="004358E9"/>
    <w:rsid w:val="00496904"/>
    <w:rsid w:val="004A340C"/>
    <w:rsid w:val="00564AA1"/>
    <w:rsid w:val="005820DB"/>
    <w:rsid w:val="00592529"/>
    <w:rsid w:val="005976B4"/>
    <w:rsid w:val="005A46A2"/>
    <w:rsid w:val="005A7288"/>
    <w:rsid w:val="00607E4A"/>
    <w:rsid w:val="00617994"/>
    <w:rsid w:val="00637EAB"/>
    <w:rsid w:val="0069070C"/>
    <w:rsid w:val="006B2827"/>
    <w:rsid w:val="006B42B0"/>
    <w:rsid w:val="006C73DC"/>
    <w:rsid w:val="006E56E5"/>
    <w:rsid w:val="006F7778"/>
    <w:rsid w:val="00716C25"/>
    <w:rsid w:val="007631B4"/>
    <w:rsid w:val="0076337F"/>
    <w:rsid w:val="00770475"/>
    <w:rsid w:val="007C4DAE"/>
    <w:rsid w:val="007C5C68"/>
    <w:rsid w:val="007F395F"/>
    <w:rsid w:val="007F66BE"/>
    <w:rsid w:val="00823F91"/>
    <w:rsid w:val="0084689A"/>
    <w:rsid w:val="00860BEE"/>
    <w:rsid w:val="008630B0"/>
    <w:rsid w:val="00887247"/>
    <w:rsid w:val="008A0FD0"/>
    <w:rsid w:val="008C4ABC"/>
    <w:rsid w:val="008E2818"/>
    <w:rsid w:val="008E6356"/>
    <w:rsid w:val="008F41FE"/>
    <w:rsid w:val="00904AEF"/>
    <w:rsid w:val="00905D2F"/>
    <w:rsid w:val="0092730E"/>
    <w:rsid w:val="009334B9"/>
    <w:rsid w:val="00962810"/>
    <w:rsid w:val="00984F27"/>
    <w:rsid w:val="009A1CE7"/>
    <w:rsid w:val="009B0D08"/>
    <w:rsid w:val="009C7BBC"/>
    <w:rsid w:val="009D4E9C"/>
    <w:rsid w:val="009D7A90"/>
    <w:rsid w:val="00A61E9A"/>
    <w:rsid w:val="00A95F6D"/>
    <w:rsid w:val="00AB0E9F"/>
    <w:rsid w:val="00B16FCF"/>
    <w:rsid w:val="00B5128E"/>
    <w:rsid w:val="00B55423"/>
    <w:rsid w:val="00B73B9B"/>
    <w:rsid w:val="00B9655A"/>
    <w:rsid w:val="00BA5B02"/>
    <w:rsid w:val="00BB53BF"/>
    <w:rsid w:val="00BD75C4"/>
    <w:rsid w:val="00BE2347"/>
    <w:rsid w:val="00C00BE3"/>
    <w:rsid w:val="00C0653A"/>
    <w:rsid w:val="00C1635B"/>
    <w:rsid w:val="00C44F25"/>
    <w:rsid w:val="00C5272D"/>
    <w:rsid w:val="00C62F1A"/>
    <w:rsid w:val="00C81603"/>
    <w:rsid w:val="00C83178"/>
    <w:rsid w:val="00C83FCC"/>
    <w:rsid w:val="00C918CD"/>
    <w:rsid w:val="00CA0FAC"/>
    <w:rsid w:val="00CA46FD"/>
    <w:rsid w:val="00CB3C47"/>
    <w:rsid w:val="00CE72CA"/>
    <w:rsid w:val="00D07393"/>
    <w:rsid w:val="00D30079"/>
    <w:rsid w:val="00D53CCB"/>
    <w:rsid w:val="00D707EE"/>
    <w:rsid w:val="00D930F3"/>
    <w:rsid w:val="00D95C0C"/>
    <w:rsid w:val="00E354D3"/>
    <w:rsid w:val="00E42153"/>
    <w:rsid w:val="00EA0A59"/>
    <w:rsid w:val="00EE7A36"/>
    <w:rsid w:val="00F05C23"/>
    <w:rsid w:val="00F40543"/>
    <w:rsid w:val="00F473DA"/>
    <w:rsid w:val="00F73BF6"/>
    <w:rsid w:val="00F85B61"/>
    <w:rsid w:val="00FB4C27"/>
    <w:rsid w:val="00FD17BA"/>
    <w:rsid w:val="00FD5163"/>
    <w:rsid w:val="00FF1ECA"/>
    <w:rsid w:val="00FF3D03"/>
    <w:rsid w:val="00FF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D504B"/>
  <w15:chartTrackingRefBased/>
  <w15:docId w15:val="{82995CCF-AF98-45B3-86C8-0643F8E0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CD"/>
    <w:pPr>
      <w:spacing w:after="0" w:line="360" w:lineRule="auto"/>
      <w:jc w:val="both"/>
    </w:pPr>
    <w:rPr>
      <w:rFonts w:ascii="Times New Roman" w:eastAsiaTheme="minorEastAsia" w:hAnsi="Times New Roman"/>
      <w:sz w:val="24"/>
      <w:szCs w:val="24"/>
    </w:rPr>
  </w:style>
  <w:style w:type="paragraph" w:styleId="Heading1">
    <w:name w:val="heading 1"/>
    <w:basedOn w:val="Normal"/>
    <w:next w:val="Normal"/>
    <w:link w:val="Heading1Char"/>
    <w:autoRedefine/>
    <w:uiPriority w:val="9"/>
    <w:qFormat/>
    <w:rsid w:val="00C44F25"/>
    <w:pPr>
      <w:keepNext/>
      <w:keepLines/>
      <w:numPr>
        <w:numId w:val="3"/>
      </w:numPr>
      <w:spacing w:before="240" w:line="480" w:lineRule="auto"/>
      <w:ind w:left="630"/>
      <w:outlineLvl w:val="0"/>
    </w:pPr>
    <w:rPr>
      <w:rFonts w:eastAsiaTheme="majorEastAsia" w:cstheme="majorBidi"/>
      <w:b/>
      <w:caps/>
      <w:szCs w:val="32"/>
    </w:rPr>
  </w:style>
  <w:style w:type="paragraph" w:styleId="Heading2">
    <w:name w:val="heading 2"/>
    <w:basedOn w:val="Normal"/>
    <w:next w:val="Normal"/>
    <w:link w:val="Heading2Char"/>
    <w:autoRedefine/>
    <w:uiPriority w:val="9"/>
    <w:unhideWhenUsed/>
    <w:qFormat/>
    <w:rsid w:val="005A46A2"/>
    <w:pPr>
      <w:keepNext/>
      <w:keepLines/>
      <w:spacing w:before="160" w:after="12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F25"/>
    <w:rPr>
      <w:rFonts w:ascii="Times New Roman" w:eastAsiaTheme="majorEastAsia" w:hAnsi="Times New Roman" w:cstheme="majorBidi"/>
      <w:b/>
      <w:caps/>
      <w:sz w:val="24"/>
      <w:szCs w:val="32"/>
    </w:rPr>
  </w:style>
  <w:style w:type="character" w:customStyle="1" w:styleId="Heading2Char">
    <w:name w:val="Heading 2 Char"/>
    <w:basedOn w:val="DefaultParagraphFont"/>
    <w:link w:val="Heading2"/>
    <w:uiPriority w:val="9"/>
    <w:rsid w:val="005A46A2"/>
    <w:rPr>
      <w:rFonts w:ascii="Times New Roman" w:eastAsiaTheme="majorEastAsia" w:hAnsi="Times New Roman" w:cstheme="majorBidi"/>
      <w:b/>
      <w:sz w:val="24"/>
      <w:szCs w:val="26"/>
    </w:rPr>
  </w:style>
  <w:style w:type="paragraph" w:styleId="Title">
    <w:name w:val="Title"/>
    <w:basedOn w:val="Normal"/>
    <w:next w:val="Normal"/>
    <w:link w:val="TitleChar"/>
    <w:autoRedefine/>
    <w:uiPriority w:val="10"/>
    <w:qFormat/>
    <w:rsid w:val="00564AA1"/>
    <w:pPr>
      <w:contextualSpacing/>
      <w:jc w:val="center"/>
    </w:pPr>
    <w:rPr>
      <w:rFonts w:eastAsiaTheme="majorEastAsia" w:cstheme="majorBidi"/>
      <w:b/>
      <w:caps/>
      <w:spacing w:val="-10"/>
      <w:kern w:val="28"/>
      <w:sz w:val="56"/>
      <w:szCs w:val="56"/>
    </w:rPr>
  </w:style>
  <w:style w:type="character" w:customStyle="1" w:styleId="TitleChar">
    <w:name w:val="Title Char"/>
    <w:basedOn w:val="DefaultParagraphFont"/>
    <w:link w:val="Title"/>
    <w:uiPriority w:val="10"/>
    <w:rsid w:val="00564AA1"/>
    <w:rPr>
      <w:rFonts w:ascii="Arial" w:eastAsiaTheme="majorEastAsia" w:hAnsi="Arial" w:cstheme="majorBidi"/>
      <w:b/>
      <w:caps/>
      <w:spacing w:val="-10"/>
      <w:kern w:val="28"/>
      <w:sz w:val="56"/>
      <w:szCs w:val="56"/>
    </w:rPr>
  </w:style>
  <w:style w:type="paragraph" w:styleId="BalloonText">
    <w:name w:val="Balloon Text"/>
    <w:basedOn w:val="Normal"/>
    <w:link w:val="BalloonTextChar"/>
    <w:uiPriority w:val="99"/>
    <w:semiHidden/>
    <w:unhideWhenUsed/>
    <w:rsid w:val="005925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2529"/>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3912F9"/>
    <w:rPr>
      <w:sz w:val="16"/>
      <w:szCs w:val="16"/>
    </w:rPr>
  </w:style>
  <w:style w:type="paragraph" w:styleId="CommentText">
    <w:name w:val="annotation text"/>
    <w:basedOn w:val="Normal"/>
    <w:link w:val="CommentTextChar"/>
    <w:uiPriority w:val="99"/>
    <w:semiHidden/>
    <w:unhideWhenUsed/>
    <w:rsid w:val="003912F9"/>
    <w:rPr>
      <w:sz w:val="20"/>
      <w:szCs w:val="20"/>
    </w:rPr>
  </w:style>
  <w:style w:type="character" w:customStyle="1" w:styleId="CommentTextChar">
    <w:name w:val="Comment Text Char"/>
    <w:basedOn w:val="DefaultParagraphFont"/>
    <w:link w:val="CommentText"/>
    <w:uiPriority w:val="99"/>
    <w:semiHidden/>
    <w:rsid w:val="003912F9"/>
    <w:rPr>
      <w:rFonts w:ascii="Times New Roman" w:eastAsiaTheme="minorEastAsia" w:hAnsi="Times New Roman"/>
      <w:sz w:val="20"/>
      <w:szCs w:val="20"/>
    </w:rPr>
  </w:style>
  <w:style w:type="paragraph" w:styleId="CommentSubject">
    <w:name w:val="annotation subject"/>
    <w:basedOn w:val="CommentText"/>
    <w:next w:val="CommentText"/>
    <w:link w:val="CommentSubjectChar"/>
    <w:uiPriority w:val="99"/>
    <w:semiHidden/>
    <w:unhideWhenUsed/>
    <w:rsid w:val="003912F9"/>
    <w:rPr>
      <w:b/>
      <w:bCs/>
    </w:rPr>
  </w:style>
  <w:style w:type="character" w:customStyle="1" w:styleId="CommentSubjectChar">
    <w:name w:val="Comment Subject Char"/>
    <w:basedOn w:val="CommentTextChar"/>
    <w:link w:val="CommentSubject"/>
    <w:uiPriority w:val="99"/>
    <w:semiHidden/>
    <w:rsid w:val="003912F9"/>
    <w:rPr>
      <w:rFonts w:ascii="Times New Roman" w:eastAsiaTheme="minorEastAsia" w:hAnsi="Times New Roman"/>
      <w:b/>
      <w:bCs/>
      <w:sz w:val="20"/>
      <w:szCs w:val="20"/>
    </w:rPr>
  </w:style>
  <w:style w:type="paragraph" w:styleId="ListParagraph">
    <w:name w:val="List Paragraph"/>
    <w:basedOn w:val="Normal"/>
    <w:uiPriority w:val="34"/>
    <w:qFormat/>
    <w:rsid w:val="00293B12"/>
    <w:pPr>
      <w:ind w:left="720"/>
      <w:contextualSpacing/>
    </w:pPr>
  </w:style>
  <w:style w:type="paragraph" w:styleId="Header">
    <w:name w:val="header"/>
    <w:basedOn w:val="Normal"/>
    <w:link w:val="HeaderChar"/>
    <w:uiPriority w:val="99"/>
    <w:unhideWhenUsed/>
    <w:rsid w:val="00716C25"/>
    <w:pPr>
      <w:tabs>
        <w:tab w:val="center" w:pos="4680"/>
        <w:tab w:val="right" w:pos="9360"/>
      </w:tabs>
      <w:spacing w:line="240" w:lineRule="auto"/>
    </w:pPr>
  </w:style>
  <w:style w:type="character" w:customStyle="1" w:styleId="HeaderChar">
    <w:name w:val="Header Char"/>
    <w:basedOn w:val="DefaultParagraphFont"/>
    <w:link w:val="Header"/>
    <w:uiPriority w:val="99"/>
    <w:rsid w:val="00716C25"/>
    <w:rPr>
      <w:rFonts w:ascii="Times New Roman" w:eastAsiaTheme="minorEastAsia" w:hAnsi="Times New Roman"/>
      <w:sz w:val="24"/>
      <w:szCs w:val="24"/>
    </w:rPr>
  </w:style>
  <w:style w:type="paragraph" w:styleId="Footer">
    <w:name w:val="footer"/>
    <w:basedOn w:val="Normal"/>
    <w:link w:val="FooterChar"/>
    <w:uiPriority w:val="99"/>
    <w:unhideWhenUsed/>
    <w:rsid w:val="00716C25"/>
    <w:pPr>
      <w:tabs>
        <w:tab w:val="center" w:pos="4680"/>
        <w:tab w:val="right" w:pos="9360"/>
      </w:tabs>
      <w:spacing w:line="240" w:lineRule="auto"/>
    </w:pPr>
  </w:style>
  <w:style w:type="character" w:customStyle="1" w:styleId="FooterChar">
    <w:name w:val="Footer Char"/>
    <w:basedOn w:val="DefaultParagraphFont"/>
    <w:link w:val="Footer"/>
    <w:uiPriority w:val="99"/>
    <w:rsid w:val="00716C25"/>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Kelsi</dc:creator>
  <cp:keywords/>
  <dc:description/>
  <cp:lastModifiedBy>Austin, Kelsi</cp:lastModifiedBy>
  <cp:revision>3</cp:revision>
  <dcterms:created xsi:type="dcterms:W3CDTF">2021-07-21T13:49:00Z</dcterms:created>
  <dcterms:modified xsi:type="dcterms:W3CDTF">2021-07-21T13:52:00Z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